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D17491"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33139">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34352" w:rsidRPr="00E34352">
        <w:t>Construction Safety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34352" w:rsidRPr="00E34352">
        <w:t>CMGT 1033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34352" w:rsidRPr="00E34352">
        <w:t>CMGT 103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33139">
        <w:fldChar w:fldCharType="begin">
          <w:ffData>
            <w:name w:val="Text27"/>
            <w:enabled/>
            <w:calcOnExit w:val="0"/>
            <w:textInput>
              <w:maxLength w:val="30"/>
            </w:textInput>
          </w:ffData>
        </w:fldChar>
      </w:r>
      <w:bookmarkStart w:id="5" w:name="Text27"/>
      <w:r w:rsidRPr="00433139">
        <w:instrText xml:space="preserve"> FORMTEXT </w:instrText>
      </w:r>
      <w:r w:rsidRPr="00433139">
        <w:fldChar w:fldCharType="separate"/>
      </w:r>
      <w:r w:rsidR="00E34352" w:rsidRPr="00433139">
        <w:t>3</w:t>
      </w:r>
      <w:r w:rsidRPr="00433139">
        <w:fldChar w:fldCharType="end"/>
      </w:r>
      <w:bookmarkEnd w:id="5"/>
      <w:r w:rsidRPr="00433139">
        <w:t>-</w:t>
      </w:r>
      <w:r w:rsidRPr="00433139">
        <w:fldChar w:fldCharType="begin">
          <w:ffData>
            <w:name w:val="Text33"/>
            <w:enabled/>
            <w:calcOnExit w:val="0"/>
            <w:textInput/>
          </w:ffData>
        </w:fldChar>
      </w:r>
      <w:bookmarkStart w:id="6" w:name="Text33"/>
      <w:r w:rsidRPr="00433139">
        <w:instrText xml:space="preserve"> FORMTEXT </w:instrText>
      </w:r>
      <w:r w:rsidRPr="00433139">
        <w:fldChar w:fldCharType="separate"/>
      </w:r>
      <w:r w:rsidR="00E34352" w:rsidRPr="00433139">
        <w:t>0</w:t>
      </w:r>
      <w:r w:rsidRPr="00433139">
        <w:fldChar w:fldCharType="end"/>
      </w:r>
      <w:bookmarkEnd w:id="6"/>
      <w:r w:rsidRPr="00433139">
        <w:t>-</w:t>
      </w:r>
      <w:r w:rsidRPr="00433139">
        <w:fldChar w:fldCharType="begin">
          <w:ffData>
            <w:name w:val="Text34"/>
            <w:enabled/>
            <w:calcOnExit w:val="0"/>
            <w:textInput/>
          </w:ffData>
        </w:fldChar>
      </w:r>
      <w:bookmarkStart w:id="7" w:name="Text34"/>
      <w:r w:rsidRPr="00433139">
        <w:instrText xml:space="preserve"> FORMTEXT </w:instrText>
      </w:r>
      <w:r w:rsidRPr="00433139">
        <w:fldChar w:fldCharType="separate"/>
      </w:r>
      <w:r w:rsidR="00E34352" w:rsidRPr="00433139">
        <w:t>3</w:t>
      </w:r>
      <w:r w:rsidRPr="0043313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33139">
        <w:fldChar w:fldCharType="begin">
          <w:ffData>
            <w:name w:val="Text27"/>
            <w:enabled/>
            <w:calcOnExit w:val="0"/>
            <w:textInput>
              <w:maxLength w:val="30"/>
            </w:textInput>
          </w:ffData>
        </w:fldChar>
      </w:r>
      <w:r w:rsidRPr="00433139">
        <w:instrText xml:space="preserve"> FORMTEXT </w:instrText>
      </w:r>
      <w:r w:rsidRPr="00433139">
        <w:fldChar w:fldCharType="separate"/>
      </w:r>
      <w:r w:rsidR="00D17491" w:rsidRPr="00433139">
        <w:t>45</w:t>
      </w:r>
      <w:r w:rsidRPr="00433139">
        <w:fldChar w:fldCharType="end"/>
      </w:r>
      <w:r w:rsidRPr="00433139">
        <w:t>-</w:t>
      </w:r>
      <w:r w:rsidRPr="00433139">
        <w:fldChar w:fldCharType="begin">
          <w:ffData>
            <w:name w:val="Text35"/>
            <w:enabled/>
            <w:calcOnExit w:val="0"/>
            <w:textInput/>
          </w:ffData>
        </w:fldChar>
      </w:r>
      <w:bookmarkStart w:id="8" w:name="Text35"/>
      <w:r w:rsidRPr="00433139">
        <w:instrText xml:space="preserve"> FORMTEXT </w:instrText>
      </w:r>
      <w:r w:rsidRPr="00433139">
        <w:fldChar w:fldCharType="separate"/>
      </w:r>
      <w:r w:rsidR="00D17491" w:rsidRPr="00433139">
        <w:t>0</w:t>
      </w:r>
      <w:r w:rsidRPr="00433139">
        <w:fldChar w:fldCharType="end"/>
      </w:r>
      <w:bookmarkEnd w:id="8"/>
      <w:r w:rsidRPr="00433139">
        <w:t>-</w:t>
      </w:r>
      <w:r w:rsidRPr="00433139">
        <w:fldChar w:fldCharType="begin">
          <w:ffData>
            <w:name w:val="Text36"/>
            <w:enabled/>
            <w:calcOnExit w:val="0"/>
            <w:textInput/>
          </w:ffData>
        </w:fldChar>
      </w:r>
      <w:bookmarkStart w:id="9" w:name="Text36"/>
      <w:r w:rsidRPr="00433139">
        <w:instrText xml:space="preserve"> FORMTEXT </w:instrText>
      </w:r>
      <w:r w:rsidRPr="00433139">
        <w:fldChar w:fldCharType="separate"/>
      </w:r>
      <w:r w:rsidR="00D17491" w:rsidRPr="00433139">
        <w:t>45</w:t>
      </w:r>
      <w:r w:rsidRPr="0043313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34352" w:rsidRPr="00E34352">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34352" w:rsidRPr="00E34352">
        <w:t>Addresses the principles of jobsite construction safety in residential, commercial, and industrial construction settings. The emphasis is placed on construction safety requirements set forth by Occupational Safety and Health Administration (OSHA) and other applicable regulatory agencies and provides students with the knowledge required of modern construction professionals.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34352" w:rsidRPr="00E34352">
        <w:t>None</w:t>
      </w:r>
      <w:r w:rsidRPr="001137F3">
        <w:rPr>
          <w:u w:val="single"/>
        </w:rPr>
        <w:fldChar w:fldCharType="end"/>
      </w:r>
      <w:bookmarkEnd w:id="13"/>
    </w:p>
    <w:p w:rsidR="00860938" w:rsidRPr="00D17491"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34352" w:rsidRPr="00E3435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34352" w:rsidRPr="00E34352">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57DC7" w:rsidRPr="00757DC7">
        <w:t>Describe the role of OSHA on construction sites and in construction accidents.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57DC7" w:rsidRPr="00757DC7">
        <w:t>Identify unsafe acts and unsafe conditions and how they cause construction accidents.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57DC7" w:rsidRPr="00757DC7">
        <w:t>Recognize the four most common causes of construction site fatalities and how to prevent them.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57DC7" w:rsidRPr="00757DC7">
        <w:t>Locate the hazardous material content and the required personal protective equipment (PPE) for its safe handling on a Material Safety Data Sheet (MSDS).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57DC7" w:rsidRPr="00757DC7">
        <w:t>Discuss the role of project management in coordinating safety on construction sites.</w:t>
      </w:r>
      <w:r>
        <w:fldChar w:fldCharType="end"/>
      </w:r>
      <w:bookmarkEnd w:id="20"/>
    </w:p>
    <w:p w:rsidR="00C40487" w:rsidRDefault="00C40487" w:rsidP="00C40487"/>
    <w:p w:rsid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D17491" w:rsidRPr="00594256" w:rsidRDefault="00D17491" w:rsidP="00571E7F">
      <w:r>
        <w:lastRenderedPageBreak/>
        <w:t>The student will be assessed using the following assessment tools based upon a common grading method, scale, and rubric:</w:t>
      </w:r>
    </w:p>
    <w:p w:rsidR="00564473" w:rsidRPr="00564473" w:rsidRDefault="00594256" w:rsidP="00564473">
      <w:r>
        <w:fldChar w:fldCharType="begin">
          <w:ffData>
            <w:name w:val="Text7"/>
            <w:enabled/>
            <w:calcOnExit w:val="0"/>
            <w:textInput/>
          </w:ffData>
        </w:fldChar>
      </w:r>
      <w:bookmarkStart w:id="21" w:name="Text7"/>
      <w:r>
        <w:instrText xml:space="preserve"> FORMTEXT </w:instrText>
      </w:r>
      <w:r>
        <w:fldChar w:fldCharType="separate"/>
      </w:r>
      <w:r w:rsidR="00564473" w:rsidRPr="00564473">
        <w:t>1.</w:t>
      </w:r>
      <w:r w:rsidR="00564473" w:rsidRPr="00564473">
        <w:tab/>
        <w:t>Assignments, quizzes, exams, and a research essay</w:t>
      </w:r>
    </w:p>
    <w:p w:rsidR="00594256" w:rsidRDefault="00564473" w:rsidP="00564473">
      <w:pPr>
        <w:ind w:left="360" w:hanging="360"/>
      </w:pPr>
      <w:r w:rsidRPr="00564473">
        <w:t>2.</w:t>
      </w:r>
      <w:r w:rsidRPr="00564473">
        <w:tab/>
        <w:t>Assignments, quizzes, exams, and a research essay</w:t>
      </w:r>
      <w:r w:rsidR="00594256">
        <w:fldChar w:fldCharType="end"/>
      </w:r>
      <w:bookmarkEnd w:id="21"/>
    </w:p>
    <w:p w:rsidR="00594256" w:rsidRPr="00CC3DF3" w:rsidRDefault="00594256" w:rsidP="0055677F">
      <w:pPr>
        <w:ind w:left="360" w:hanging="360"/>
      </w:pPr>
    </w:p>
    <w:p w:rsidR="00594256" w:rsidRPr="00D17491" w:rsidRDefault="00594256" w:rsidP="00571E7F">
      <w:pPr>
        <w:rPr>
          <w:b/>
          <w:sz w:val="23"/>
          <w:szCs w:val="23"/>
        </w:rPr>
      </w:pPr>
      <w:r w:rsidRPr="00D17491">
        <w:rPr>
          <w:b/>
          <w:sz w:val="23"/>
          <w:szCs w:val="23"/>
        </w:rPr>
        <w:t>Information to be included on the Instructor’s Course Syllabi:</w:t>
      </w:r>
    </w:p>
    <w:p w:rsidR="00594256" w:rsidRPr="00D17491" w:rsidRDefault="00594256" w:rsidP="002316E4">
      <w:pPr>
        <w:numPr>
          <w:ilvl w:val="0"/>
          <w:numId w:val="16"/>
        </w:numPr>
        <w:tabs>
          <w:tab w:val="num" w:pos="1500"/>
        </w:tabs>
        <w:rPr>
          <w:sz w:val="23"/>
          <w:szCs w:val="23"/>
        </w:rPr>
      </w:pPr>
      <w:r w:rsidRPr="00D17491">
        <w:rPr>
          <w:b/>
          <w:i/>
          <w:sz w:val="23"/>
          <w:szCs w:val="23"/>
        </w:rPr>
        <w:t>Disability Statement</w:t>
      </w:r>
      <w:r w:rsidRPr="00D17491">
        <w:rPr>
          <w:b/>
          <w:sz w:val="23"/>
          <w:szCs w:val="23"/>
        </w:rPr>
        <w:t xml:space="preserve">:  </w:t>
      </w:r>
      <w:r w:rsidRPr="00D17491">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D17491" w:rsidRDefault="00594256" w:rsidP="00BA7672">
      <w:pPr>
        <w:numPr>
          <w:ilvl w:val="0"/>
          <w:numId w:val="16"/>
        </w:numPr>
        <w:tabs>
          <w:tab w:val="num" w:pos="1500"/>
        </w:tabs>
        <w:rPr>
          <w:sz w:val="23"/>
          <w:szCs w:val="23"/>
        </w:rPr>
      </w:pPr>
      <w:r w:rsidRPr="00D17491">
        <w:rPr>
          <w:b/>
          <w:i/>
          <w:sz w:val="23"/>
          <w:szCs w:val="23"/>
        </w:rPr>
        <w:t>Grading:</w:t>
      </w:r>
      <w:r w:rsidRPr="00D17491">
        <w:rPr>
          <w:b/>
          <w:sz w:val="23"/>
          <w:szCs w:val="23"/>
        </w:rPr>
        <w:t xml:space="preserve"> </w:t>
      </w:r>
      <w:r w:rsidRPr="00D17491">
        <w:rPr>
          <w:sz w:val="23"/>
          <w:szCs w:val="23"/>
        </w:rPr>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accepted after the last day of class”.</w:t>
      </w:r>
    </w:p>
    <w:p w:rsidR="00594256" w:rsidRPr="00D17491" w:rsidRDefault="00594256" w:rsidP="00344391">
      <w:pPr>
        <w:numPr>
          <w:ilvl w:val="0"/>
          <w:numId w:val="16"/>
        </w:numPr>
        <w:tabs>
          <w:tab w:val="num" w:pos="1500"/>
        </w:tabs>
        <w:rPr>
          <w:sz w:val="23"/>
          <w:szCs w:val="23"/>
        </w:rPr>
      </w:pPr>
      <w:r w:rsidRPr="00D17491">
        <w:rPr>
          <w:b/>
          <w:i/>
          <w:sz w:val="23"/>
          <w:szCs w:val="23"/>
        </w:rPr>
        <w:t>Attendance Policy</w:t>
      </w:r>
      <w:r w:rsidRPr="00D17491">
        <w:rPr>
          <w:b/>
          <w:sz w:val="23"/>
          <w:szCs w:val="23"/>
        </w:rPr>
        <w:t xml:space="preserve">:  </w:t>
      </w:r>
      <w:r w:rsidRPr="00D17491">
        <w:rPr>
          <w:sz w:val="23"/>
          <w:szCs w:val="23"/>
        </w:rPr>
        <w:t>Include the overall attendance policy of the college.  Instructors may want to add additional information in individual syllabi to meet the needs of their courses.</w:t>
      </w:r>
    </w:p>
    <w:p w:rsidR="00594256" w:rsidRPr="00D17491" w:rsidRDefault="00594256" w:rsidP="009F035B">
      <w:pPr>
        <w:numPr>
          <w:ilvl w:val="0"/>
          <w:numId w:val="16"/>
        </w:numPr>
        <w:tabs>
          <w:tab w:val="num" w:pos="1500"/>
        </w:tabs>
        <w:rPr>
          <w:sz w:val="23"/>
          <w:szCs w:val="23"/>
        </w:rPr>
      </w:pPr>
      <w:r w:rsidRPr="00D17491">
        <w:rPr>
          <w:b/>
          <w:i/>
          <w:sz w:val="23"/>
          <w:szCs w:val="23"/>
        </w:rPr>
        <w:t>General Policies</w:t>
      </w:r>
      <w:r w:rsidRPr="00D17491">
        <w:rPr>
          <w:b/>
          <w:sz w:val="23"/>
          <w:szCs w:val="23"/>
        </w:rPr>
        <w:t xml:space="preserve">: </w:t>
      </w:r>
      <w:r w:rsidRPr="00D17491">
        <w:rPr>
          <w:sz w:val="23"/>
          <w:szCs w:val="23"/>
        </w:rPr>
        <w:t>Instructors’ policy on the use of things such as beepers and cell phones and/or hand held programmable calculators should be covered in this section.</w:t>
      </w:r>
    </w:p>
    <w:p w:rsidR="00594256" w:rsidRPr="00D17491" w:rsidRDefault="00594256" w:rsidP="00E00F42">
      <w:pPr>
        <w:numPr>
          <w:ilvl w:val="0"/>
          <w:numId w:val="16"/>
        </w:numPr>
        <w:tabs>
          <w:tab w:val="num" w:pos="1500"/>
        </w:tabs>
        <w:rPr>
          <w:sz w:val="23"/>
          <w:szCs w:val="23"/>
        </w:rPr>
      </w:pPr>
      <w:r w:rsidRPr="00D17491">
        <w:rPr>
          <w:b/>
          <w:i/>
          <w:sz w:val="23"/>
          <w:szCs w:val="23"/>
        </w:rPr>
        <w:t>Cheating and Plagiarism</w:t>
      </w:r>
      <w:r w:rsidRPr="00D17491">
        <w:rPr>
          <w:b/>
          <w:sz w:val="23"/>
          <w:szCs w:val="23"/>
        </w:rPr>
        <w:t xml:space="preserve">:  </w:t>
      </w:r>
      <w:r w:rsidRPr="00D17491">
        <w:rPr>
          <w:sz w:val="23"/>
          <w:szCs w:val="23"/>
        </w:rPr>
        <w:t>This must be included in all syllabi and should include the penalties for incidents in a given class.  Students should have a clear idea of what constitutes cheating in a given course.</w:t>
      </w:r>
    </w:p>
    <w:p w:rsidR="00594256" w:rsidRPr="00D17491" w:rsidRDefault="00594256" w:rsidP="00063C16">
      <w:pPr>
        <w:numPr>
          <w:ilvl w:val="0"/>
          <w:numId w:val="16"/>
        </w:numPr>
        <w:tabs>
          <w:tab w:val="num" w:pos="1500"/>
        </w:tabs>
        <w:rPr>
          <w:sz w:val="23"/>
          <w:szCs w:val="23"/>
        </w:rPr>
      </w:pPr>
      <w:r w:rsidRPr="00D17491">
        <w:rPr>
          <w:b/>
          <w:i/>
          <w:sz w:val="23"/>
          <w:szCs w:val="23"/>
        </w:rPr>
        <w:t xml:space="preserve">Safety Concerns:  </w:t>
      </w:r>
      <w:r w:rsidRPr="00D17491">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D17491" w:rsidRDefault="00594256" w:rsidP="00C40487">
      <w:pPr>
        <w:numPr>
          <w:ilvl w:val="0"/>
          <w:numId w:val="16"/>
        </w:numPr>
        <w:tabs>
          <w:tab w:val="num" w:pos="1500"/>
        </w:tabs>
        <w:rPr>
          <w:i/>
          <w:sz w:val="23"/>
          <w:szCs w:val="23"/>
        </w:rPr>
      </w:pPr>
      <w:r w:rsidRPr="00D17491">
        <w:rPr>
          <w:b/>
          <w:i/>
          <w:sz w:val="23"/>
          <w:szCs w:val="23"/>
        </w:rPr>
        <w:t xml:space="preserve">Library/ Learning Resources:  </w:t>
      </w:r>
      <w:r w:rsidRPr="00D17491">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751E0" w:rsidRPr="00B751E0" w:rsidRDefault="00594256" w:rsidP="00B751E0">
      <w:r>
        <w:fldChar w:fldCharType="begin">
          <w:ffData>
            <w:name w:val="Text1"/>
            <w:enabled/>
            <w:calcOnExit w:val="0"/>
            <w:textInput/>
          </w:ffData>
        </w:fldChar>
      </w:r>
      <w:bookmarkStart w:id="22" w:name="Text1"/>
      <w:r>
        <w:instrText xml:space="preserve"> FORMTEXT </w:instrText>
      </w:r>
      <w:r>
        <w:fldChar w:fldCharType="separate"/>
      </w:r>
      <w:r w:rsidR="00B751E0" w:rsidRPr="00B751E0">
        <w:t>I.</w:t>
      </w:r>
      <w:r w:rsidR="00B751E0" w:rsidRPr="00B751E0">
        <w:tab/>
        <w:t>Introduction to Construction Safety and Introduction to OSHA</w:t>
      </w:r>
    </w:p>
    <w:p w:rsidR="00B751E0" w:rsidRPr="00B751E0" w:rsidRDefault="00B751E0" w:rsidP="00B751E0">
      <w:r w:rsidRPr="00B751E0">
        <w:t>II.</w:t>
      </w:r>
      <w:r w:rsidRPr="00B751E0">
        <w:tab/>
        <w:t>Hazard Communication and “Your Right to Know”</w:t>
      </w:r>
    </w:p>
    <w:p w:rsidR="00B751E0" w:rsidRPr="00B751E0" w:rsidRDefault="00B751E0" w:rsidP="00B751E0">
      <w:r w:rsidRPr="00B751E0">
        <w:t>III.</w:t>
      </w:r>
      <w:r w:rsidRPr="00B751E0">
        <w:tab/>
        <w:t>Personal Protective Equipment</w:t>
      </w:r>
    </w:p>
    <w:p w:rsidR="00B751E0" w:rsidRPr="00B751E0" w:rsidRDefault="00B751E0" w:rsidP="00B751E0">
      <w:r w:rsidRPr="00B751E0">
        <w:t>IV.</w:t>
      </w:r>
      <w:r w:rsidRPr="00B751E0">
        <w:tab/>
        <w:t>Work-Zone Safety</w:t>
      </w:r>
    </w:p>
    <w:p w:rsidR="00B751E0" w:rsidRPr="00B751E0" w:rsidRDefault="00B751E0" w:rsidP="00B751E0">
      <w:r w:rsidRPr="00B751E0">
        <w:t>V.</w:t>
      </w:r>
      <w:r w:rsidRPr="00B751E0">
        <w:tab/>
        <w:t>Electrical and High-Voltage Hazards</w:t>
      </w:r>
    </w:p>
    <w:p w:rsidR="00B751E0" w:rsidRPr="00B751E0" w:rsidRDefault="00B751E0" w:rsidP="00B751E0">
      <w:r w:rsidRPr="00B751E0">
        <w:t>VI.</w:t>
      </w:r>
      <w:r w:rsidRPr="00B751E0">
        <w:tab/>
        <w:t>Fire Protection and Prevention</w:t>
      </w:r>
    </w:p>
    <w:p w:rsidR="00B751E0" w:rsidRPr="00B751E0" w:rsidRDefault="00B751E0" w:rsidP="00B751E0">
      <w:r w:rsidRPr="00B751E0">
        <w:t>VII.</w:t>
      </w:r>
      <w:r w:rsidRPr="00B751E0">
        <w:tab/>
        <w:t>Hand-Tool and Power-Tool Safety</w:t>
      </w:r>
    </w:p>
    <w:p w:rsidR="00B751E0" w:rsidRPr="00B751E0" w:rsidRDefault="00B751E0" w:rsidP="00B751E0">
      <w:r w:rsidRPr="00B751E0">
        <w:t>VIII.</w:t>
      </w:r>
      <w:r w:rsidRPr="00B751E0">
        <w:tab/>
        <w:t>Welding Safety</w:t>
      </w:r>
    </w:p>
    <w:p w:rsidR="00B751E0" w:rsidRPr="00B751E0" w:rsidRDefault="00B751E0" w:rsidP="00B751E0">
      <w:r w:rsidRPr="00B751E0">
        <w:t>IX.</w:t>
      </w:r>
      <w:r w:rsidRPr="00B751E0">
        <w:tab/>
        <w:t>Fall Protection and Prevention</w:t>
      </w:r>
    </w:p>
    <w:p w:rsidR="00B751E0" w:rsidRPr="00B751E0" w:rsidRDefault="00B751E0" w:rsidP="00B751E0">
      <w:r w:rsidRPr="00B751E0">
        <w:t>X.</w:t>
      </w:r>
      <w:r w:rsidRPr="00B751E0">
        <w:tab/>
        <w:t>Steel Erection Safety</w:t>
      </w:r>
    </w:p>
    <w:p w:rsidR="00B751E0" w:rsidRPr="00B751E0" w:rsidRDefault="00B751E0" w:rsidP="00B751E0">
      <w:r w:rsidRPr="00B751E0">
        <w:t>XI.</w:t>
      </w:r>
      <w:r w:rsidRPr="00B751E0">
        <w:tab/>
        <w:t>Walking and Working Surfaces</w:t>
      </w:r>
    </w:p>
    <w:p w:rsidR="00B751E0" w:rsidRPr="00B751E0" w:rsidRDefault="00B751E0" w:rsidP="00B751E0">
      <w:r w:rsidRPr="00B751E0">
        <w:t>XII.</w:t>
      </w:r>
      <w:r w:rsidRPr="00B751E0">
        <w:tab/>
        <w:t>Ladders and Scaffolding</w:t>
      </w:r>
    </w:p>
    <w:p w:rsidR="00B751E0" w:rsidRPr="00B751E0" w:rsidRDefault="00B751E0" w:rsidP="00B751E0">
      <w:r w:rsidRPr="00B751E0">
        <w:t>XIII.</w:t>
      </w:r>
      <w:r w:rsidRPr="00B751E0">
        <w:tab/>
        <w:t>Horizontal Directional Drilling Hazards</w:t>
      </w:r>
    </w:p>
    <w:p w:rsidR="00B751E0" w:rsidRPr="00B751E0" w:rsidRDefault="00B751E0" w:rsidP="00B751E0">
      <w:r w:rsidRPr="00B751E0">
        <w:t>XIV.</w:t>
      </w:r>
      <w:r w:rsidRPr="00B751E0">
        <w:tab/>
        <w:t>Heavy-Equipment, Crane, and Rigging Safety</w:t>
      </w:r>
    </w:p>
    <w:p w:rsidR="00B751E0" w:rsidRPr="00B751E0" w:rsidRDefault="00B751E0" w:rsidP="00B751E0">
      <w:r w:rsidRPr="00B751E0">
        <w:t>XV.</w:t>
      </w:r>
      <w:r w:rsidRPr="00B751E0">
        <w:tab/>
        <w:t>Trenching and Excavation Safety</w:t>
      </w:r>
    </w:p>
    <w:p w:rsidR="00B751E0" w:rsidRPr="00B751E0" w:rsidRDefault="00B751E0" w:rsidP="00B751E0">
      <w:r w:rsidRPr="00B751E0">
        <w:t>XVI.</w:t>
      </w:r>
      <w:r w:rsidRPr="00B751E0">
        <w:tab/>
        <w:t>Forklift Safety</w:t>
      </w:r>
    </w:p>
    <w:p w:rsidR="00B751E0" w:rsidRPr="00B751E0" w:rsidRDefault="00B751E0" w:rsidP="00B751E0">
      <w:r w:rsidRPr="00B751E0">
        <w:t>XVII.</w:t>
      </w:r>
      <w:r w:rsidRPr="00B751E0">
        <w:tab/>
        <w:t>Lock-Out/Tag-Out Procedures</w:t>
      </w:r>
    </w:p>
    <w:p w:rsidR="00B751E0" w:rsidRPr="00B751E0" w:rsidRDefault="00B751E0" w:rsidP="00B751E0">
      <w:r w:rsidRPr="00B751E0">
        <w:t>XVIII.</w:t>
      </w:r>
      <w:r w:rsidRPr="00B751E0">
        <w:tab/>
        <w:t>Confined Space Safety and Procedures</w:t>
      </w:r>
    </w:p>
    <w:p w:rsidR="00B751E0" w:rsidRPr="00B751E0" w:rsidRDefault="00B751E0" w:rsidP="00B751E0">
      <w:r w:rsidRPr="00B751E0">
        <w:t>XIX.</w:t>
      </w:r>
      <w:r w:rsidRPr="00B751E0">
        <w:tab/>
        <w:t>Concrete and Masonry Hazards and Safety</w:t>
      </w:r>
    </w:p>
    <w:p w:rsidR="00594256" w:rsidRDefault="00B751E0" w:rsidP="00B751E0">
      <w:r w:rsidRPr="00B751E0">
        <w:t>XX.</w:t>
      </w:r>
      <w:r w:rsidRPr="00B751E0">
        <w:tab/>
        <w:t>OSHA Record Keeping Requirements</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13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ZETvnUOwYSCcvVTlC9LrIuwNyBOXy8W+L4IvbJZbUx7ou3H/P6Fm9vAObwOuj9cjgKsescfqmtXUtu/o9j80A==" w:salt="QkaM4oA1cKvKq5cLnhH4V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3139"/>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4473"/>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57DC7"/>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B9E"/>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51E0"/>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7491"/>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435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2409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932304-5881-43EE-A702-7848A9FA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18</TotalTime>
  <Pages>2</Pages>
  <Words>656</Words>
  <Characters>4152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2020-07-29T16:24:00Z</dcterms:created>
  <dcterms:modified xsi:type="dcterms:W3CDTF">2020-09-02T17:07:00Z</dcterms:modified>
</cp:coreProperties>
</file>